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hint="eastAsia"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10009" w:type="dxa"/>
        <w:jc w:val="center"/>
        <w:tblLayout w:type="fixed"/>
        <w:tblCellMar>
          <w:top w:w="0" w:type="dxa"/>
          <w:left w:w="108" w:type="dxa"/>
          <w:bottom w:w="0" w:type="dxa"/>
          <w:right w:w="108" w:type="dxa"/>
        </w:tblCellMar>
      </w:tblPr>
      <w:tblGrid>
        <w:gridCol w:w="24"/>
        <w:gridCol w:w="1197"/>
        <w:gridCol w:w="179"/>
        <w:gridCol w:w="718"/>
        <w:gridCol w:w="1448"/>
        <w:gridCol w:w="792"/>
        <w:gridCol w:w="595"/>
        <w:gridCol w:w="1222"/>
        <w:gridCol w:w="244"/>
        <w:gridCol w:w="732"/>
        <w:gridCol w:w="317"/>
        <w:gridCol w:w="2541"/>
      </w:tblGrid>
      <w:tr>
        <w:tblPrEx>
          <w:tblCellMar>
            <w:top w:w="0" w:type="dxa"/>
            <w:left w:w="108" w:type="dxa"/>
            <w:bottom w:w="0" w:type="dxa"/>
            <w:right w:w="108" w:type="dxa"/>
          </w:tblCellMar>
        </w:tblPrEx>
        <w:trPr>
          <w:gridBefore w:val="1"/>
          <w:wBefore w:w="24" w:type="dxa"/>
          <w:trHeight w:val="575" w:hRule="atLeast"/>
          <w:jc w:val="center"/>
        </w:trPr>
        <w:tc>
          <w:tcPr>
            <w:tcW w:w="2094" w:type="dxa"/>
            <w:gridSpan w:val="3"/>
            <w:vMerge w:val="restart"/>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5"/>
            <w:vMerge w:val="restart"/>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eastAsia" w:ascii="宋体" w:hAnsi="宋体" w:eastAsia="宋体" w:cs="宋体"/>
                <w:sz w:val="28"/>
                <w:szCs w:val="28"/>
                <w:lang w:val="zh-CN"/>
              </w:rPr>
            </w:pPr>
            <w:r>
              <w:rPr>
                <w:rFonts w:hint="eastAsia" w:ascii="宋体" w:hAnsi="宋体" w:eastAsia="宋体" w:cs="宋体"/>
                <w:bCs/>
                <w:color w:val="373535"/>
                <w:kern w:val="0"/>
                <w:sz w:val="28"/>
                <w:szCs w:val="28"/>
              </w:rPr>
              <w:t>高山上的红色音符</w:t>
            </w: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2541"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default" w:ascii="仿宋" w:eastAsia="仿宋" w:cs="仿宋"/>
                <w:sz w:val="28"/>
                <w:szCs w:val="28"/>
                <w:lang w:val="en-US" w:eastAsia="zh-CN"/>
              </w:rPr>
            </w:pPr>
            <w:r>
              <w:rPr>
                <w:rFonts w:hint="eastAsia" w:ascii="仿宋" w:eastAsia="仿宋" w:cs="仿宋"/>
                <w:sz w:val="28"/>
                <w:szCs w:val="28"/>
                <w:lang w:val="en-US" w:eastAsia="zh-CN"/>
              </w:rPr>
              <w:t>报告文学</w:t>
            </w:r>
          </w:p>
        </w:tc>
      </w:tr>
      <w:tr>
        <w:tblPrEx>
          <w:tblCellMar>
            <w:top w:w="0" w:type="dxa"/>
            <w:left w:w="108" w:type="dxa"/>
            <w:bottom w:w="0" w:type="dxa"/>
            <w:right w:w="108" w:type="dxa"/>
          </w:tblCellMar>
        </w:tblPrEx>
        <w:trPr>
          <w:gridBefore w:val="1"/>
          <w:wBefore w:w="24" w:type="dxa"/>
          <w:trHeight w:val="573" w:hRule="atLeast"/>
          <w:jc w:val="center"/>
        </w:trPr>
        <w:tc>
          <w:tcPr>
            <w:tcW w:w="2094" w:type="dxa"/>
            <w:gridSpan w:val="3"/>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5"/>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eastAsia" w:ascii="宋体" w:hAnsi="宋体" w:eastAsia="宋体" w:cs="宋体"/>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2541"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cs="仿宋" w:asciiTheme="minorEastAsia" w:hAnsiTheme="minorEastAsia"/>
                <w:sz w:val="28"/>
                <w:szCs w:val="28"/>
              </w:rPr>
              <w:t>7190</w:t>
            </w:r>
          </w:p>
        </w:tc>
      </w:tr>
      <w:tr>
        <w:tblPrEx>
          <w:tblCellMar>
            <w:top w:w="0" w:type="dxa"/>
            <w:left w:w="108" w:type="dxa"/>
            <w:bottom w:w="0" w:type="dxa"/>
            <w:right w:w="108" w:type="dxa"/>
          </w:tblCellMar>
        </w:tblPrEx>
        <w:trPr>
          <w:gridBefore w:val="1"/>
          <w:wBefore w:w="24" w:type="dxa"/>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rPr>
                <w:rFonts w:hint="eastAsia" w:ascii="宋体" w:hAnsi="宋体" w:eastAsia="宋体" w:cs="宋体"/>
                <w:sz w:val="28"/>
                <w:szCs w:val="28"/>
              </w:rPr>
            </w:pPr>
            <w:r>
              <w:rPr>
                <w:rFonts w:hint="eastAsia" w:ascii="宋体" w:hAnsi="宋体" w:eastAsia="宋体" w:cs="宋体"/>
                <w:sz w:val="28"/>
                <w:szCs w:val="28"/>
              </w:rPr>
              <w:t>陈晓云 洪跃辉 罗龙海</w:t>
            </w:r>
          </w:p>
        </w:tc>
        <w:tc>
          <w:tcPr>
            <w:tcW w:w="1466"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hint="eastAsia" w:ascii="华文中宋" w:hAnsi="华文中宋" w:eastAsia="华文中宋" w:cs="华文中宋"/>
                <w:sz w:val="28"/>
                <w:szCs w:val="20"/>
              </w:rPr>
            </w:pPr>
            <w:r>
              <w:rPr>
                <w:rFonts w:hint="eastAsia" w:ascii="华文中宋" w:hAnsi="华文中宋" w:eastAsia="华文中宋" w:cs="华文中宋"/>
                <w:sz w:val="28"/>
                <w:szCs w:val="20"/>
              </w:rPr>
              <w:t>编辑</w:t>
            </w:r>
          </w:p>
        </w:tc>
        <w:tc>
          <w:tcPr>
            <w:tcW w:w="3590" w:type="dxa"/>
            <w:gridSpan w:val="3"/>
            <w:tcBorders>
              <w:top w:val="single" w:color="auto" w:sz="6" w:space="0"/>
              <w:left w:val="single" w:color="auto" w:sz="6" w:space="0"/>
              <w:bottom w:val="single" w:color="auto" w:sz="6" w:space="0"/>
              <w:right w:val="single" w:color="auto" w:sz="6" w:space="0"/>
            </w:tcBorders>
            <w:noWrap w:val="0"/>
            <w:vAlign w:val="center"/>
          </w:tcPr>
          <w:p>
            <w:pPr>
              <w:spacing w:line="0" w:lineRule="atLeast"/>
              <w:jc w:val="left"/>
              <w:rPr>
                <w:rFonts w:eastAsia="宋体" w:cs="仿宋" w:asciiTheme="minorEastAsia" w:hAnsiTheme="minorEastAsia"/>
                <w:kern w:val="2"/>
                <w:sz w:val="28"/>
                <w:szCs w:val="28"/>
                <w:lang w:val="en-US" w:eastAsia="zh-CN" w:bidi="ar-SA"/>
              </w:rPr>
            </w:pPr>
            <w:r>
              <w:rPr>
                <w:rFonts w:hint="eastAsia" w:cs="仿宋" w:asciiTheme="minorEastAsia" w:hAnsiTheme="minorEastAsia"/>
                <w:sz w:val="28"/>
                <w:szCs w:val="28"/>
              </w:rPr>
              <w:t>陈小玲 吴明晖 冯思佳</w:t>
            </w:r>
          </w:p>
        </w:tc>
      </w:tr>
      <w:tr>
        <w:tblPrEx>
          <w:tblCellMar>
            <w:top w:w="0" w:type="dxa"/>
            <w:left w:w="108" w:type="dxa"/>
            <w:bottom w:w="0" w:type="dxa"/>
            <w:right w:w="108" w:type="dxa"/>
          </w:tblCellMar>
        </w:tblPrEx>
        <w:trPr>
          <w:gridBefore w:val="1"/>
          <w:wBefore w:w="24" w:type="dxa"/>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jc w:val="both"/>
              <w:rPr>
                <w:rFonts w:hint="eastAsia" w:ascii="宋体" w:hAnsi="宋体" w:eastAsia="宋体" w:cs="宋体"/>
                <w:sz w:val="28"/>
                <w:szCs w:val="28"/>
              </w:rPr>
            </w:pPr>
            <w:r>
              <w:rPr>
                <w:rFonts w:hint="eastAsia" w:ascii="宋体" w:hAnsi="宋体" w:eastAsia="宋体" w:cs="宋体"/>
                <w:sz w:val="28"/>
                <w:szCs w:val="28"/>
              </w:rPr>
              <w:t>闽南日报</w:t>
            </w:r>
          </w:p>
        </w:tc>
        <w:tc>
          <w:tcPr>
            <w:tcW w:w="1466"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hint="eastAsia" w:ascii="华文中宋" w:hAnsi="华文中宋" w:eastAsia="华文中宋" w:cs="华文中宋"/>
                <w:sz w:val="28"/>
                <w:szCs w:val="20"/>
              </w:rPr>
            </w:pPr>
            <w:r>
              <w:rPr>
                <w:rFonts w:hint="eastAsia" w:ascii="华文中宋" w:hAnsi="华文中宋" w:eastAsia="华文中宋" w:cs="华文中宋"/>
                <w:sz w:val="28"/>
                <w:szCs w:val="20"/>
              </w:rPr>
              <w:t>刊载单位</w:t>
            </w:r>
          </w:p>
        </w:tc>
        <w:tc>
          <w:tcPr>
            <w:tcW w:w="3590"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cs="仿宋" w:asciiTheme="minorEastAsia" w:hAnsiTheme="minorEastAsia"/>
                <w:sz w:val="28"/>
                <w:szCs w:val="28"/>
              </w:rPr>
              <w:t>闽南日报</w:t>
            </w:r>
          </w:p>
        </w:tc>
      </w:tr>
      <w:tr>
        <w:tblPrEx>
          <w:tblCellMar>
            <w:top w:w="0" w:type="dxa"/>
            <w:left w:w="108" w:type="dxa"/>
            <w:bottom w:w="0" w:type="dxa"/>
            <w:right w:w="108" w:type="dxa"/>
          </w:tblCellMar>
        </w:tblPrEx>
        <w:trPr>
          <w:gridBefore w:val="1"/>
          <w:wBefore w:w="24" w:type="dxa"/>
          <w:trHeight w:val="850" w:hRule="atLeast"/>
          <w:jc w:val="center"/>
        </w:trPr>
        <w:tc>
          <w:tcPr>
            <w:tcW w:w="2094" w:type="dxa"/>
            <w:gridSpan w:val="3"/>
            <w:tcBorders>
              <w:top w:val="single" w:color="auto" w:sz="6" w:space="0"/>
              <w:left w:val="single" w:color="auto" w:sz="6" w:space="0"/>
              <w:bottom w:val="single" w:color="auto" w:sz="6" w:space="0"/>
              <w:right w:val="single" w:color="auto" w:sz="4"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3"/>
            <w:tcBorders>
              <w:top w:val="single" w:color="auto" w:sz="6" w:space="0"/>
              <w:left w:val="single" w:color="auto" w:sz="6" w:space="0"/>
              <w:bottom w:val="single" w:color="auto" w:sz="6" w:space="0"/>
              <w:right w:val="single" w:color="auto" w:sz="4" w:space="0"/>
            </w:tcBorders>
            <w:noWrap w:val="0"/>
            <w:vAlign w:val="center"/>
          </w:tcPr>
          <w:p>
            <w:pPr>
              <w:widowControl w:val="0"/>
              <w:autoSpaceDE w:val="0"/>
              <w:autoSpaceDN w:val="0"/>
              <w:adjustRightInd w:val="0"/>
              <w:spacing w:line="40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rPr>
              <w:t>九龙江</w:t>
            </w:r>
            <w:r>
              <w:rPr>
                <w:rFonts w:hint="eastAsia" w:ascii="宋体" w:hAnsi="宋体" w:eastAsia="宋体" w:cs="宋体"/>
                <w:sz w:val="28"/>
                <w:szCs w:val="28"/>
                <w:lang w:val="en-US" w:eastAsia="zh-CN"/>
              </w:rPr>
              <w:t xml:space="preserve"> 5版</w:t>
            </w:r>
          </w:p>
        </w:tc>
        <w:tc>
          <w:tcPr>
            <w:tcW w:w="1466" w:type="dxa"/>
            <w:gridSpan w:val="2"/>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hint="eastAsia" w:ascii="华文中宋" w:hAnsi="华文中宋" w:eastAsia="华文中宋" w:cs="华文中宋"/>
                <w:sz w:val="28"/>
                <w:szCs w:val="28"/>
                <w:lang w:val="zh-CN"/>
              </w:rPr>
            </w:pPr>
            <w:r>
              <w:rPr>
                <w:rFonts w:hint="eastAsia" w:ascii="华文中宋" w:hAnsi="华文中宋" w:eastAsia="华文中宋" w:cs="华文中宋"/>
                <w:sz w:val="28"/>
                <w:szCs w:val="20"/>
              </w:rPr>
              <w:t>发表日期</w:t>
            </w:r>
          </w:p>
        </w:tc>
        <w:tc>
          <w:tcPr>
            <w:tcW w:w="3590"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cs="仿宋" w:asciiTheme="minorEastAsia" w:hAnsiTheme="minorEastAsia"/>
                <w:sz w:val="28"/>
                <w:szCs w:val="28"/>
              </w:rPr>
              <w:t>2021年12月27日</w:t>
            </w:r>
          </w:p>
        </w:tc>
      </w:tr>
      <w:tr>
        <w:tblPrEx>
          <w:tblCellMar>
            <w:top w:w="0" w:type="dxa"/>
            <w:left w:w="108" w:type="dxa"/>
            <w:bottom w:w="0" w:type="dxa"/>
            <w:right w:w="108" w:type="dxa"/>
          </w:tblCellMar>
        </w:tblPrEx>
        <w:trPr>
          <w:gridBefore w:val="1"/>
          <w:wBefore w:w="24" w:type="dxa"/>
          <w:trHeight w:val="3209" w:hRule="exac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788" w:type="dxa"/>
            <w:gridSpan w:val="10"/>
            <w:tcBorders>
              <w:top w:val="single" w:color="auto" w:sz="6" w:space="0"/>
              <w:left w:val="single" w:color="auto" w:sz="6" w:space="0"/>
              <w:bottom w:val="single" w:color="auto" w:sz="6" w:space="0"/>
              <w:right w:val="single"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w w:val="95"/>
                <w:sz w:val="24"/>
                <w:szCs w:val="24"/>
              </w:rPr>
            </w:pPr>
            <w:r>
              <w:rPr>
                <w:rFonts w:hint="eastAsia" w:cs="Times New Roman" w:asciiTheme="minorEastAsia" w:hAnsiTheme="minorEastAsia"/>
                <w:sz w:val="28"/>
                <w:szCs w:val="28"/>
              </w:rPr>
              <w:t>平和是原中央苏区县，省重点老区县，是一片充满红色记忆的土地</w:t>
            </w:r>
            <w:r>
              <w:rPr>
                <w:rFonts w:hint="eastAsia" w:cs="Times New Roman" w:asciiTheme="minorEastAsia" w:hAnsiTheme="minorEastAsia"/>
                <w:sz w:val="28"/>
                <w:szCs w:val="28"/>
                <w:lang w:eastAsia="zh-CN"/>
              </w:rPr>
              <w:t>，具有丰富多彩的红色文化资源</w:t>
            </w:r>
            <w:r>
              <w:rPr>
                <w:rFonts w:hint="eastAsia" w:cs="Times New Roman" w:asciiTheme="minorEastAsia" w:hAnsiTheme="minorEastAsia"/>
                <w:sz w:val="28"/>
                <w:szCs w:val="28"/>
              </w:rPr>
              <w:t>。早在1928年3月，平和暴动打响</w:t>
            </w:r>
            <w:r>
              <w:rPr>
                <w:rFonts w:hint="eastAsia" w:cs="Times New Roman" w:asciiTheme="minorEastAsia" w:hAnsiTheme="minorEastAsia"/>
                <w:sz w:val="28"/>
                <w:szCs w:val="28"/>
                <w:lang w:eastAsia="zh-CN"/>
              </w:rPr>
              <w:t>八闽</w:t>
            </w:r>
            <w:r>
              <w:rPr>
                <w:rFonts w:hint="eastAsia" w:cs="Times New Roman" w:asciiTheme="minorEastAsia" w:hAnsiTheme="minorEastAsia"/>
                <w:sz w:val="28"/>
                <w:szCs w:val="28"/>
              </w:rPr>
              <w:t>第一枪，组建了福建省第一支工农革命武装。</w:t>
            </w:r>
            <w:r>
              <w:rPr>
                <w:rFonts w:hint="eastAsia" w:cs="Times New Roman" w:asciiTheme="minorEastAsia" w:hAnsiTheme="minorEastAsia"/>
                <w:sz w:val="28"/>
                <w:szCs w:val="28"/>
                <w:lang w:eastAsia="zh-CN"/>
              </w:rPr>
              <w:t>在</w:t>
            </w:r>
            <w:r>
              <w:rPr>
                <w:rFonts w:hint="eastAsia" w:cs="Times New Roman" w:asciiTheme="minorEastAsia" w:hAnsiTheme="minorEastAsia"/>
                <w:sz w:val="28"/>
                <w:szCs w:val="28"/>
              </w:rPr>
              <w:t>建党100周年</w:t>
            </w:r>
            <w:r>
              <w:rPr>
                <w:rFonts w:hint="eastAsia" w:cs="Times New Roman" w:asciiTheme="minorEastAsia" w:hAnsiTheme="minorEastAsia"/>
                <w:sz w:val="28"/>
                <w:szCs w:val="28"/>
                <w:lang w:eastAsia="zh-CN"/>
              </w:rPr>
              <w:t>、</w:t>
            </w:r>
            <w:r>
              <w:rPr>
                <w:rFonts w:hint="eastAsia" w:cs="宋体" w:asciiTheme="minorEastAsia" w:hAnsiTheme="minorEastAsia"/>
                <w:color w:val="000000"/>
                <w:kern w:val="0"/>
                <w:sz w:val="28"/>
                <w:szCs w:val="28"/>
                <w:lang w:eastAsia="zh-CN"/>
              </w:rPr>
              <w:t>党的十九届六中全会胜利召开</w:t>
            </w:r>
            <w:r>
              <w:rPr>
                <w:rFonts w:hint="eastAsia" w:cs="Times New Roman" w:asciiTheme="minorEastAsia" w:hAnsiTheme="minorEastAsia"/>
                <w:sz w:val="28"/>
                <w:szCs w:val="28"/>
                <w:lang w:eastAsia="zh-CN"/>
              </w:rPr>
              <w:t>之际</w:t>
            </w:r>
            <w:r>
              <w:rPr>
                <w:rFonts w:hint="eastAsia" w:cs="Times New Roman" w:asciiTheme="minorEastAsia" w:hAnsiTheme="minorEastAsia"/>
                <w:sz w:val="28"/>
                <w:szCs w:val="28"/>
              </w:rPr>
              <w:t>，</w:t>
            </w:r>
            <w:r>
              <w:rPr>
                <w:rFonts w:hint="eastAsia" w:cs="Times New Roman" w:asciiTheme="minorEastAsia" w:hAnsiTheme="minorEastAsia"/>
                <w:sz w:val="28"/>
                <w:szCs w:val="28"/>
                <w:lang w:eastAsia="zh-CN"/>
              </w:rPr>
              <w:t>作者一行深入平和，亲身探寻</w:t>
            </w:r>
            <w:r>
              <w:rPr>
                <w:rFonts w:hint="eastAsia" w:cs="Times New Roman" w:asciiTheme="minorEastAsia" w:hAnsiTheme="minorEastAsia"/>
                <w:sz w:val="28"/>
                <w:szCs w:val="28"/>
              </w:rPr>
              <w:t>高山峻岭间</w:t>
            </w:r>
            <w:r>
              <w:rPr>
                <w:rFonts w:hint="eastAsia" w:cs="Times New Roman" w:asciiTheme="minorEastAsia" w:hAnsiTheme="minorEastAsia"/>
                <w:sz w:val="28"/>
                <w:szCs w:val="28"/>
                <w:lang w:eastAsia="zh-CN"/>
              </w:rPr>
              <w:t>的</w:t>
            </w:r>
            <w:r>
              <w:rPr>
                <w:rFonts w:hint="eastAsia" w:cs="Times New Roman" w:asciiTheme="minorEastAsia" w:hAnsiTheme="minorEastAsia"/>
                <w:sz w:val="28"/>
                <w:szCs w:val="28"/>
              </w:rPr>
              <w:t>红色足迹，</w:t>
            </w:r>
            <w:r>
              <w:rPr>
                <w:rFonts w:hint="eastAsia" w:cs="Times New Roman" w:asciiTheme="minorEastAsia" w:hAnsiTheme="minorEastAsia"/>
                <w:sz w:val="28"/>
                <w:szCs w:val="28"/>
                <w:lang w:eastAsia="zh-CN"/>
              </w:rPr>
              <w:t>俯身采访</w:t>
            </w:r>
            <w:r>
              <w:rPr>
                <w:rFonts w:hint="eastAsia" w:cs="Times New Roman" w:asciiTheme="minorEastAsia" w:hAnsiTheme="minorEastAsia"/>
                <w:sz w:val="28"/>
                <w:szCs w:val="28"/>
              </w:rPr>
              <w:t>老区干部群众，</w:t>
            </w:r>
            <w:r>
              <w:rPr>
                <w:rFonts w:hint="eastAsia" w:cs="Times New Roman" w:asciiTheme="minorEastAsia" w:hAnsiTheme="minorEastAsia"/>
                <w:sz w:val="28"/>
                <w:szCs w:val="28"/>
                <w:lang w:eastAsia="zh-CN"/>
              </w:rPr>
              <w:t>贴近</w:t>
            </w:r>
            <w:r>
              <w:rPr>
                <w:rFonts w:hint="eastAsia" w:cs="Times New Roman" w:asciiTheme="minorEastAsia" w:hAnsiTheme="minorEastAsia"/>
                <w:sz w:val="28"/>
                <w:szCs w:val="28"/>
              </w:rPr>
              <w:t>感受红色音符的跳动，</w:t>
            </w:r>
            <w:r>
              <w:rPr>
                <w:rFonts w:hint="eastAsia" w:cs="Times New Roman" w:asciiTheme="minorEastAsia" w:hAnsiTheme="minorEastAsia"/>
                <w:sz w:val="28"/>
                <w:szCs w:val="28"/>
                <w:lang w:eastAsia="zh-CN"/>
              </w:rPr>
              <w:t>捕捉老区人民积极投身乡村振兴的实践。作品结构严谨，运用空间转换手法，</w:t>
            </w:r>
            <w:r>
              <w:rPr>
                <w:rFonts w:hint="eastAsia" w:cs="Times New Roman" w:asciiTheme="minorEastAsia" w:hAnsiTheme="minorEastAsia"/>
                <w:sz w:val="28"/>
                <w:szCs w:val="28"/>
              </w:rPr>
              <w:t>以平和的三座富有红色记忆的大山为切入点，</w:t>
            </w:r>
            <w:r>
              <w:rPr>
                <w:rFonts w:hint="eastAsia" w:cs="Times New Roman" w:asciiTheme="minorEastAsia" w:hAnsiTheme="minorEastAsia"/>
                <w:sz w:val="28"/>
                <w:szCs w:val="28"/>
                <w:lang w:eastAsia="zh-CN"/>
              </w:rPr>
              <w:t>精彩展现平和人民奋进新征程、</w:t>
            </w:r>
            <w:r>
              <w:rPr>
                <w:rFonts w:hint="eastAsia" w:cs="Times New Roman" w:asciiTheme="minorEastAsia" w:hAnsiTheme="minorEastAsia"/>
                <w:sz w:val="28"/>
                <w:szCs w:val="28"/>
              </w:rPr>
              <w:t>谱写新篇章</w:t>
            </w:r>
            <w:r>
              <w:rPr>
                <w:rFonts w:hint="eastAsia" w:cs="Times New Roman" w:asciiTheme="minorEastAsia" w:hAnsiTheme="minorEastAsia"/>
                <w:sz w:val="28"/>
                <w:szCs w:val="28"/>
                <w:lang w:eastAsia="zh-CN"/>
              </w:rPr>
              <w:t>、</w:t>
            </w:r>
            <w:r>
              <w:rPr>
                <w:rFonts w:ascii="宋体" w:hAnsi="宋体" w:eastAsia="宋体" w:cs="宋体"/>
                <w:i w:val="0"/>
                <w:iCs w:val="0"/>
                <w:caps w:val="0"/>
                <w:color w:val="333333"/>
                <w:spacing w:val="0"/>
                <w:sz w:val="28"/>
                <w:szCs w:val="28"/>
                <w:shd w:val="clear" w:fill="FFFFFF"/>
              </w:rPr>
              <w:t>推进高质量发展超越</w:t>
            </w:r>
            <w:r>
              <w:rPr>
                <w:rFonts w:hint="eastAsia" w:cs="Times New Roman" w:asciiTheme="minorEastAsia" w:hAnsiTheme="minorEastAsia"/>
                <w:sz w:val="28"/>
                <w:szCs w:val="28"/>
              </w:rPr>
              <w:t>的</w:t>
            </w:r>
            <w:r>
              <w:rPr>
                <w:rFonts w:hint="eastAsia" w:cs="Times New Roman" w:asciiTheme="minorEastAsia" w:hAnsiTheme="minorEastAsia"/>
                <w:sz w:val="28"/>
                <w:szCs w:val="28"/>
                <w:lang w:eastAsia="zh-CN"/>
              </w:rPr>
              <w:t>精神面貌</w:t>
            </w:r>
            <w:r>
              <w:rPr>
                <w:rFonts w:hint="eastAsia" w:cs="Times New Roman" w:asciiTheme="minorEastAsia" w:hAnsiTheme="minorEastAsia"/>
                <w:sz w:val="28"/>
                <w:szCs w:val="28"/>
              </w:rPr>
              <w:t>。</w:t>
            </w:r>
          </w:p>
        </w:tc>
      </w:tr>
      <w:tr>
        <w:tblPrEx>
          <w:tblCellMar>
            <w:top w:w="0" w:type="dxa"/>
            <w:left w:w="108" w:type="dxa"/>
            <w:bottom w:w="0" w:type="dxa"/>
            <w:right w:w="108" w:type="dxa"/>
          </w:tblCellMar>
        </w:tblPrEx>
        <w:trPr>
          <w:gridBefore w:val="1"/>
          <w:wBefore w:w="24" w:type="dxa"/>
          <w:trHeight w:val="2092" w:hRule="exac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788" w:type="dxa"/>
            <w:gridSpan w:val="10"/>
            <w:tcBorders>
              <w:top w:val="single" w:color="auto" w:sz="6" w:space="0"/>
              <w:left w:val="single" w:color="auto" w:sz="6" w:space="0"/>
              <w:bottom w:val="single" w:color="auto" w:sz="6" w:space="0"/>
              <w:right w:val="single" w:color="auto" w:sz="6" w:space="0"/>
            </w:tcBorders>
            <w:noWrap w:val="0"/>
            <w:vAlign w:val="center"/>
          </w:tcPr>
          <w:tbl>
            <w:tblPr>
              <w:tblStyle w:val="2"/>
              <w:tblW w:w="8812"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exact"/>
              </w:trPr>
              <w:tc>
                <w:tcPr>
                  <w:tcW w:w="8812"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cs="Times New Roman" w:asciiTheme="minorEastAsia" w:hAnsiTheme="minorEastAsia"/>
                      <w:sz w:val="28"/>
                      <w:szCs w:val="28"/>
                      <w:lang w:eastAsia="zh-CN"/>
                    </w:rPr>
                  </w:pPr>
                  <w:r>
                    <w:rPr>
                      <w:rFonts w:hint="eastAsia" w:cs="Times New Roman" w:asciiTheme="minorEastAsia" w:hAnsiTheme="minorEastAsia"/>
                      <w:sz w:val="28"/>
                      <w:szCs w:val="28"/>
                      <w:lang w:eastAsia="zh-CN"/>
                    </w:rPr>
                    <w:t>党的十九届六中全会精神表明，要坚定不移地走人民共同富裕道路，而乡村振兴则是实现共同富裕的必经之路。这篇报告文学刊发后，被学习强国号、新华社客户端、</w:t>
                  </w:r>
                  <w:r>
                    <w:rPr>
                      <w:rFonts w:hint="eastAsia" w:cs="Times New Roman" w:asciiTheme="minorEastAsia" w:hAnsiTheme="minorEastAsia"/>
                      <w:sz w:val="28"/>
                      <w:szCs w:val="28"/>
                    </w:rPr>
                    <w:t>搜狐网</w:t>
                  </w:r>
                  <w:r>
                    <w:rPr>
                      <w:rFonts w:hint="eastAsia" w:cs="Times New Roman" w:asciiTheme="minorEastAsia" w:hAnsiTheme="minorEastAsia"/>
                      <w:sz w:val="28"/>
                      <w:szCs w:val="28"/>
                      <w:lang w:eastAsia="zh-CN"/>
                    </w:rPr>
                    <w:t>等平台</w:t>
                  </w:r>
                  <w:r>
                    <w:rPr>
                      <w:rFonts w:hint="eastAsia" w:cs="Times New Roman" w:asciiTheme="minorEastAsia" w:hAnsiTheme="minorEastAsia"/>
                      <w:sz w:val="28"/>
                      <w:szCs w:val="28"/>
                    </w:rPr>
                    <w:t>转载，</w:t>
                  </w:r>
                  <w:r>
                    <w:rPr>
                      <w:rFonts w:hint="eastAsia" w:cs="Times New Roman" w:asciiTheme="minorEastAsia" w:hAnsiTheme="minorEastAsia"/>
                      <w:sz w:val="28"/>
                      <w:szCs w:val="28"/>
                      <w:lang w:eastAsia="zh-CN"/>
                    </w:rPr>
                    <w:t>产生了较好的社会影响力和传播效果</w:t>
                  </w:r>
                  <w:r>
                    <w:rPr>
                      <w:rFonts w:hint="eastAsia" w:cs="Times New Roman" w:asciiTheme="minorEastAsia" w:hAnsiTheme="minorEastAsia"/>
                      <w:sz w:val="28"/>
                      <w:szCs w:val="28"/>
                    </w:rPr>
                    <w:t>，引起了</w:t>
                  </w:r>
                  <w:r>
                    <w:rPr>
                      <w:rFonts w:hint="eastAsia" w:cs="Times New Roman" w:asciiTheme="minorEastAsia" w:hAnsiTheme="minorEastAsia"/>
                      <w:sz w:val="28"/>
                      <w:szCs w:val="28"/>
                      <w:lang w:eastAsia="zh-CN"/>
                    </w:rPr>
                    <w:t>社会各界</w:t>
                  </w:r>
                  <w:r>
                    <w:rPr>
                      <w:rFonts w:hint="eastAsia" w:cs="Times New Roman" w:asciiTheme="minorEastAsia" w:hAnsiTheme="minorEastAsia"/>
                      <w:sz w:val="28"/>
                      <w:szCs w:val="28"/>
                    </w:rPr>
                    <w:t>的广泛关注，</w:t>
                  </w:r>
                  <w:r>
                    <w:rPr>
                      <w:rFonts w:hint="eastAsia" w:cs="Times New Roman" w:asciiTheme="minorEastAsia" w:hAnsiTheme="minorEastAsia"/>
                      <w:sz w:val="28"/>
                      <w:szCs w:val="28"/>
                      <w:lang w:eastAsia="zh-CN"/>
                    </w:rPr>
                    <w:t>推动着人们</w:t>
                  </w:r>
                  <w:r>
                    <w:rPr>
                      <w:rFonts w:hint="eastAsia" w:cs="Times New Roman" w:asciiTheme="minorEastAsia" w:hAnsiTheme="minorEastAsia"/>
                      <w:sz w:val="28"/>
                      <w:szCs w:val="28"/>
                    </w:rPr>
                    <w:t>积极投身乡村振兴和推进高质量发展超越的实践</w:t>
                  </w:r>
                  <w:r>
                    <w:rPr>
                      <w:rFonts w:hint="eastAsia" w:cs="Times New Roman" w:asciiTheme="minorEastAsia" w:hAnsiTheme="minorEastAsia"/>
                      <w:sz w:val="28"/>
                      <w:szCs w:val="28"/>
                      <w:lang w:eastAsia="zh-CN"/>
                    </w:rPr>
                    <w:t>。</w:t>
                  </w:r>
                </w:p>
                <w:p>
                  <w:pPr>
                    <w:spacing w:line="400" w:lineRule="exact"/>
                    <w:ind w:firstLine="560" w:firstLineChars="200"/>
                    <w:rPr>
                      <w:rFonts w:ascii="仿宋_GB2312" w:eastAsia="仿宋_GB2312"/>
                      <w:sz w:val="28"/>
                      <w:szCs w:val="28"/>
                    </w:rPr>
                  </w:pPr>
                </w:p>
              </w:tc>
            </w:tr>
          </w:tbl>
          <w:p>
            <w:pPr>
              <w:shd w:val="clear" w:color="auto" w:fill="FFFFFF"/>
              <w:wordWrap w:val="0"/>
              <w:ind w:firstLine="480" w:firstLineChars="200"/>
              <w:rPr>
                <w:rFonts w:eastAsia="宋体" w:cs="Segoe UI" w:asciiTheme="minorEastAsia" w:hAnsiTheme="minorEastAsia"/>
                <w:color w:val="222222"/>
                <w:kern w:val="0"/>
                <w:sz w:val="24"/>
                <w:szCs w:val="24"/>
                <w:lang w:val="en-US" w:eastAsia="zh-CN" w:bidi="ar-SA"/>
              </w:rPr>
            </w:pPr>
          </w:p>
        </w:tc>
      </w:tr>
      <w:tr>
        <w:tblPrEx>
          <w:tblCellMar>
            <w:top w:w="0" w:type="dxa"/>
            <w:left w:w="108" w:type="dxa"/>
            <w:bottom w:w="0" w:type="dxa"/>
            <w:right w:w="108" w:type="dxa"/>
          </w:tblCellMar>
        </w:tblPrEx>
        <w:trPr>
          <w:trHeight w:val="1994" w:hRule="atLeast"/>
          <w:jc w:val="center"/>
        </w:trPr>
        <w:tc>
          <w:tcPr>
            <w:tcW w:w="1221"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788" w:type="dxa"/>
            <w:gridSpan w:val="10"/>
            <w:tcBorders>
              <w:top w:val="single" w:color="auto" w:sz="6" w:space="0"/>
              <w:left w:val="single" w:color="auto" w:sz="6" w:space="0"/>
              <w:bottom w:val="single" w:color="auto" w:sz="6" w:space="0"/>
              <w:right w:val="single" w:color="auto" w:sz="6" w:space="0"/>
            </w:tcBorders>
            <w:noWrap w:val="0"/>
            <w:vAlign w:val="top"/>
          </w:tcPr>
          <w:p>
            <w:pPr>
              <w:widowControl w:val="0"/>
              <w:spacing w:line="240" w:lineRule="auto"/>
              <w:ind w:firstLine="4968" w:firstLineChars="1800"/>
              <w:jc w:val="both"/>
              <w:rPr>
                <w:rFonts w:hint="eastAsia" w:ascii="华文中宋" w:hAnsi="华文中宋" w:eastAsia="华文中宋"/>
                <w:spacing w:val="-2"/>
                <w:sz w:val="28"/>
                <w:szCs w:val="20"/>
                <w:lang w:eastAsia="zh-CN"/>
              </w:rPr>
            </w:pPr>
            <w:bookmarkStart w:id="0" w:name="_GoBack"/>
            <w:bookmarkEnd w:id="0"/>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409065" cy="706120"/>
                  <wp:effectExtent l="0" t="0" r="635" b="17780"/>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409065" cy="706120"/>
                          </a:xfrm>
                          <a:prstGeom prst="rect">
                            <a:avLst/>
                          </a:prstGeom>
                        </pic:spPr>
                      </pic:pic>
                    </a:graphicData>
                  </a:graphic>
                </wp:inline>
              </w:drawing>
            </w:r>
          </w:p>
          <w:p>
            <w:pPr>
              <w:widowControl w:val="0"/>
              <w:spacing w:line="360" w:lineRule="exact"/>
              <w:ind w:firstLine="5460" w:firstLineChars="1950"/>
              <w:jc w:val="both"/>
              <w:rPr>
                <w:rFonts w:hint="eastAsia"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jc w:val="center"/>
        </w:trPr>
        <w:tc>
          <w:tcPr>
            <w:tcW w:w="1400" w:type="dxa"/>
            <w:gridSpan w:val="3"/>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1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陈小玲</w:t>
            </w:r>
          </w:p>
        </w:tc>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0596——2599851</w:t>
            </w:r>
          </w:p>
        </w:tc>
        <w:tc>
          <w:tcPr>
            <w:tcW w:w="9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85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13709361599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4" w:type="dxa"/>
          <w:trHeight w:val="537" w:hRule="exact"/>
          <w:jc w:val="center"/>
        </w:trPr>
        <w:tc>
          <w:tcPr>
            <w:tcW w:w="1376" w:type="dxa"/>
            <w:gridSpan w:val="2"/>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rPr>
              <w:t>2307325682</w:t>
            </w:r>
            <w:r>
              <w:rPr>
                <w:rFonts w:hint="eastAsia" w:ascii="华文中宋" w:hAnsi="华文中宋" w:eastAsia="华文中宋"/>
                <w:color w:val="000000"/>
                <w:sz w:val="28"/>
                <w:szCs w:val="28"/>
                <w:lang w:val="en-US" w:eastAsia="zh-CN"/>
              </w:rPr>
              <w:t>@qq.com</w:t>
            </w:r>
          </w:p>
        </w:tc>
        <w:tc>
          <w:tcPr>
            <w:tcW w:w="9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85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363000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4" w:type="dxa"/>
          <w:trHeight w:val="680" w:hRule="exact"/>
          <w:jc w:val="center"/>
        </w:trPr>
        <w:tc>
          <w:tcPr>
            <w:tcW w:w="13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8609"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福建省漳州市胜利西路152号闽南日报社新闻大楼</w:t>
            </w:r>
          </w:p>
        </w:tc>
      </w:tr>
    </w:tbl>
    <w:p>
      <w:pPr>
        <w:widowControl w:val="0"/>
        <w:rPr>
          <w:rFonts w:hint="eastAsia"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hint="eastAsia" w:ascii="楷体" w:hAnsi="楷体" w:eastAsia="楷体"/>
          <w:sz w:val="28"/>
        </w:rPr>
      </w:pPr>
    </w:p>
    <w:p>
      <w:pPr>
        <w:widowControl w:val="0"/>
        <w:rPr>
          <w:rFonts w:hint="eastAsia"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hint="eastAsia" w:ascii="仿宋_GB2312" w:hAnsi="仿宋" w:eastAsia="仿宋_GB2312"/>
          <w:sz w:val="24"/>
          <w:szCs w:val="24"/>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hint="eastAsia" w:ascii="仿宋_GB2312" w:hAnsi="仿宋" w:eastAsia="仿宋_GB2312"/>
          <w:sz w:val="24"/>
          <w:szCs w:val="24"/>
        </w:rPr>
      </w:pPr>
    </w:p>
    <w:p>
      <w:pPr>
        <w:widowControl w:val="0"/>
        <w:spacing w:line="560" w:lineRule="exact"/>
        <w:ind w:firstLine="4000" w:firstLineChars="125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hint="eastAsia"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hint="eastAsia"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hint="eastAsia" w:ascii="仿宋_GB2312" w:hAnsi="仿宋" w:eastAsia="仿宋_GB2312"/>
          <w:szCs w:val="20"/>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3872" w:firstLineChars="121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right"/>
        <w:rPr>
          <w:rFonts w:ascii="仿宋_GB2312" w:hAnsi="仿宋" w:eastAsia="仿宋_GB2312"/>
          <w:sz w:val="32"/>
          <w:szCs w:val="32"/>
        </w:rPr>
      </w:pPr>
      <w:r>
        <w:rPr>
          <w:rFonts w:hint="eastAsia" w:ascii="仿宋_GB2312" w:hAnsi="仿宋" w:eastAsia="仿宋_GB2312"/>
          <w:sz w:val="32"/>
          <w:szCs w:val="32"/>
        </w:rPr>
        <w:t xml:space="preserve"> 年    月</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日</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YjU1N2FmYTQyZTE4ZWZkNDc4YjdkZDlkYWRhYzEifQ=="/>
  </w:docVars>
  <w:rsids>
    <w:rsidRoot w:val="03A2422E"/>
    <w:rsid w:val="03A2422E"/>
    <w:rsid w:val="11E61671"/>
    <w:rsid w:val="6C0C060D"/>
    <w:rsid w:val="6FDC4FAB"/>
    <w:rsid w:val="76406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1210</Words>
  <Characters>1275</Characters>
  <Lines>0</Lines>
  <Paragraphs>0</Paragraphs>
  <TotalTime>8</TotalTime>
  <ScaleCrop>false</ScaleCrop>
  <LinksUpToDate>false</LinksUpToDate>
  <CharactersWithSpaces>1372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2022-06-06T03:16:56Z</cp:lastPrinted>
  <dcterms:modified xsi:type="dcterms:W3CDTF">2022-06-06T03:16:59Z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8FEE9E71405A459480127DD4490A6013</vt:lpwstr>
  </property>
</Properties>
</file>